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D752D0">
              <w:t>8</w:t>
            </w:r>
            <w:r w:rsidR="00FF6A95">
              <w:t>-0</w:t>
            </w:r>
            <w:r w:rsidR="002045AD">
              <w:t>34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2045AD">
        <w:t>IP 71153</w:t>
      </w:r>
      <w:r w:rsidR="002045AD">
        <w:tab/>
        <w:t>12/17/15</w:t>
      </w:r>
      <w:r w:rsidR="002045AD">
        <w:tab/>
        <w:t>IP 71153</w:t>
      </w:r>
      <w:r w:rsidR="002045AD">
        <w:tab/>
        <w:t>10/03/18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D001DF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2045AD">
        <w:t>IP 71153, “</w:t>
      </w:r>
      <w:r w:rsidR="002045AD" w:rsidRPr="002045AD">
        <w:t>Follow-up of Events and Notices of Enforcement Discretion</w:t>
      </w:r>
      <w:r w:rsidR="002045AD">
        <w:t>,” has been revised to add SER reviews, and guidance on LER/SER review timeliness.  Added samples for report verification, eliminated redundancy and improved for plain writing.</w:t>
      </w:r>
      <w:r w:rsidR="00D001DF">
        <w:t xml:space="preserve">  Relocated optional requirements to the guidance section to better align with IMC 2515, Section 08.04.  Relabeled appendices A, B and C as attachments 1,</w:t>
      </w:r>
      <w:r w:rsidR="00696FFE">
        <w:t xml:space="preserve"> </w:t>
      </w:r>
      <w:bookmarkStart w:id="0" w:name="_GoBack"/>
      <w:bookmarkEnd w:id="0"/>
      <w:r w:rsidR="00D001DF">
        <w:t>2, and 3 to align better with IMC 0040.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96FFE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696FFE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2045AD">
      <w:t>10/03/18</w:t>
    </w:r>
    <w:r w:rsidRPr="00A31474">
      <w:tab/>
    </w:r>
    <w:r w:rsidR="00AA7A90">
      <w:t>1</w:t>
    </w:r>
    <w:r w:rsidR="00AA7A90">
      <w:tab/>
      <w:t>1</w:t>
    </w:r>
    <w:r w:rsidR="00D752D0">
      <w:t>8</w:t>
    </w:r>
    <w:r w:rsidR="002045AD">
      <w:t>-034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072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5AD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6FF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01D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26C0-21F3-4A50-888D-1F8A3025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2018-10-03T15:06:00Z</dcterms:created>
  <dcterms:modified xsi:type="dcterms:W3CDTF">2018-10-03T15:06:00Z</dcterms:modified>
</cp:coreProperties>
</file>